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Приложение 19 к постановлению</w:t>
      </w:r>
    </w:p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9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1494"/>
        <w:gridCol w:w="1047"/>
        <w:gridCol w:w="1124"/>
        <w:gridCol w:w="1012"/>
        <w:gridCol w:w="2273"/>
        <w:gridCol w:w="6"/>
        <w:gridCol w:w="1660"/>
        <w:gridCol w:w="1791"/>
        <w:gridCol w:w="588"/>
        <w:gridCol w:w="6"/>
      </w:tblGrid>
      <w:tr w:rsidR="00902F21" w:rsidRPr="00755EFD" w:rsidTr="00635F75">
        <w:trPr>
          <w:jc w:val="center"/>
        </w:trPr>
        <w:tc>
          <w:tcPr>
            <w:tcW w:w="2428" w:type="pct"/>
            <w:gridSpan w:val="4"/>
            <w:vMerge w:val="restar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 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169D3DC" wp14:editId="13F1879A">
                  <wp:extent cx="3986213" cy="885825"/>
                  <wp:effectExtent l="0" t="0" r="0" b="0"/>
                  <wp:docPr id="19" name="Рисунок 19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406" cy="88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  <w:gridSpan w:val="6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2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428" w:type="pct"/>
            <w:gridSpan w:val="4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570" w:type="pct"/>
            <w:gridSpan w:val="6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2" w:type="pct"/>
            <w:vMerge w:val="restar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428" w:type="pct"/>
            <w:gridSpan w:val="4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570" w:type="pct"/>
            <w:gridSpan w:val="6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Ұлттық Банкіне ұсынылады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" w:type="pct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0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«Жалпы сақтандыру» саласы бойынша бейрезиденттерді сақтандыру (қайта сақтандыру) және бейрезидентттердің тәуекелдерін қайта сақтандыру туралы есеп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0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 о страховании (перестраховании) нерезидентов и перестраховании рисков у нерезидентов по отрасли 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«общее страхование»</w:t>
            </w:r>
          </w:p>
        </w:tc>
      </w:tr>
      <w:tr w:rsidR="00902F21" w:rsidRPr="00755EFD" w:rsidTr="00635F75">
        <w:trPr>
          <w:gridAfter w:val="1"/>
          <w:wAfter w:w="4" w:type="pct"/>
          <w:jc w:val="center"/>
        </w:trPr>
        <w:tc>
          <w:tcPr>
            <w:tcW w:w="1143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891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11-ТБ-ЖС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11-ПБ-ОС</w:t>
            </w:r>
          </w:p>
        </w:tc>
        <w:tc>
          <w:tcPr>
            <w:tcW w:w="749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797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есепті кезең </w:t>
            </w: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3EBC8E8" wp14:editId="77873B54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3175</wp:posOffset>
                  </wp:positionV>
                  <wp:extent cx="371475" cy="333375"/>
                  <wp:effectExtent l="0" t="0" r="9525" b="9525"/>
                  <wp:wrapSquare wrapText="bothSides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" w:type="pct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2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628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9FBF78F" wp14:editId="7254EE1B">
                  <wp:extent cx="1123950" cy="333375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0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«Жалпы сақтандыру» саласы бойынша лицензия негізінде өз қызметін жүзеге асыратын сақтандыру ұйымдары, бейрезидент сақтандыру (қайта сақтандыру) ұйымдарының филиалдары ұсынады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Представляют страховые организации, филиалы страховых (перестраховочных) организаций – нерезидентов осуществляющие свою деятельность на основании лицензии по отрасли «общее страхование»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0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 – есептік кезеңнен кейінгі бірінші айдың 20-нан кешіктірмей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20 числа первого месяца после отчетного периода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1667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3331" w:type="pct"/>
            <w:gridSpan w:val="8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F3F74C0" wp14:editId="006EB5CE">
                  <wp:extent cx="3080369" cy="314325"/>
                  <wp:effectExtent l="0" t="0" r="6350" b="0"/>
                  <wp:docPr id="17" name="Рисунок 17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714" cy="32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 Бейрезиденттерді тікелей сақтандыру, мың Америка Құрама Штаттарының (бұдан әрі – АҚШ)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 Прямое страхование нерезидентов, тысяч долларов Соединенных Штатов Америки (далее – США)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90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6"/>
        <w:gridCol w:w="1385"/>
        <w:gridCol w:w="1893"/>
        <w:gridCol w:w="514"/>
        <w:gridCol w:w="514"/>
        <w:gridCol w:w="514"/>
        <w:gridCol w:w="514"/>
        <w:gridCol w:w="514"/>
        <w:gridCol w:w="514"/>
        <w:gridCol w:w="514"/>
        <w:gridCol w:w="514"/>
        <w:gridCol w:w="682"/>
      </w:tblGrid>
      <w:tr w:rsidR="00902F21" w:rsidRPr="00755EFD" w:rsidTr="00635F75">
        <w:trPr>
          <w:jc w:val="center"/>
        </w:trPr>
        <w:tc>
          <w:tcPr>
            <w:tcW w:w="2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676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Сақтанушы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страны страхователя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1.1-бөлік.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1.1.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Бейрезидентттермен сақтандыру шарттары бойынша қабылданған сақтандыру сыйлықақылары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Страховые премии, принятые по договорам страхования с нерезидентами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11100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Бейрезиденттермен сақтандыру шарттары бойынша сақтандыру төлемдерін жүзеге асыру шығыстары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Расходы по осуществлению страховых выплат по договорам страхования с нерезидентами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11200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ірі сақтандыру төлемдері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из них крупные страховые выплаты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11210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Сақтандыру резервтерін инвестициялаудан кіріс (бейрезиденттермен сақтандыру шарттары бойынша, қайта сақтандырушының үлесін қоспағанда)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Доход от инвестирования страховых резервов (по договорам страхования с нерезидентами, за исключением доли перестраховщика)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11300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1.2-бөлік. Бейрезиденттермен сақтандыру шарттары бойынша резервтер бойынша қалдықтар (позициялар) (қайта сақтандырушының үлесін қоспағанда)</w:t>
            </w:r>
          </w:p>
          <w:p w:rsidR="00902F21" w:rsidRPr="00755EFD" w:rsidRDefault="00902F21" w:rsidP="00635F75">
            <w:pPr>
              <w:ind w:left="127" w:right="114"/>
              <w:jc w:val="center"/>
            </w:pPr>
            <w:r w:rsidRPr="00755EFD">
              <w:t>Часть 1.2. Остатки (позиции) по резервам по договорам страхования с нерезидентами (за исключением доли перестраховщика)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Еңбегі сіңбеген сыйлықақы резерві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Резерв незаработанной премии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сестринских компаний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11531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сестринских компаний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11533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11534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Шығындар резерві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Резерв убытков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lastRenderedPageBreak/>
              <w:t>по страхованию сестринских компаний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11623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11631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сестринских компаний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11633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14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11634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 Бейрезиденттерді қайта сақтандыру (кіріс қайта сақтандыруы), мың АҚШ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Перестрахование нерезидентов (входящее перестрахование), тысяч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512"/>
        <w:gridCol w:w="684"/>
      </w:tblGrid>
      <w:tr w:rsidR="00902F21" w:rsidRPr="00755EFD" w:rsidTr="00635F75">
        <w:trPr>
          <w:jc w:val="center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64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Қайта сақтанушы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Наименование страны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перестрахователя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2.1-бөлік.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2.1.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Бейрезиденттермен қайта сақтандыру шарттары бойынша қабылданған сақтандыру сыйлықақылары</w:t>
            </w:r>
          </w:p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t>Принятые страховые премии по договорам перестрахования с 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Бейрезиденттермен қайта сақтандыру шарттары бойынша сақтандыру төлемдерін жүзеге асыру шығыстары</w:t>
            </w:r>
          </w:p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t>Расходы по осуществлению страховых выплат по договорам перестрахования с 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12200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ірі сақтандыру төлемдері</w:t>
            </w:r>
          </w:p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t>из них крупные страховые выплаты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12210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Қайта сақтандыру резервтерін инвестициялаудан кіріс (бейрезиденттермен қайта сақтандыру шарттары бойынша)</w:t>
            </w:r>
          </w:p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t>Доход от инвестирования страховых резервов (по договорам перестрахования с нерезидентами)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12300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төленуге жататын комиссиялар</w:t>
            </w:r>
          </w:p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t>комиссионные, подлежащие к выплате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12400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қайта сақтандыру болған жағдайда</w:t>
            </w:r>
          </w:p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t>в случае пропорционального перестрахования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12440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емес қайта сақтандыру болған жағдайда</w:t>
            </w:r>
          </w:p>
          <w:p w:rsidR="00902F21" w:rsidRPr="00755EFD" w:rsidRDefault="00902F21" w:rsidP="00635F75">
            <w:pPr>
              <w:ind w:left="127" w:right="243"/>
              <w:jc w:val="both"/>
            </w:pPr>
            <w:r w:rsidRPr="00755EFD">
              <w:t>в случае непропорционального перестрахования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12450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2.2-бөлік. Бейрезиденттермен сақтандыру шарттары бойынша резервтер бойынша қалдықтар (позициялар) (қайта сақтандырушының үлесі)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2.2. Остатки (позиции) по резервам (доля перестраховщика по договорам перестрахования с нерезидентами)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еңбегі сіңбеген сыйлықақы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резерв незаработанной премии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сестринских компаний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12523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12524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12531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12532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сестринских компаний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12533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12534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шығындар резерві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lastRenderedPageBreak/>
              <w:t>резерв убытков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12600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сестринских компаний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12623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12624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объектов прямого инвестирования (нерезидентов)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12631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прямых инвесторов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12632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сестринских компаний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12633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бейрезиденттерді сақтандыру бойынша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по страхованию прочих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12634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3. Бейрезиденттердің қайта сақтандыруы (шығыс қайта сақтандыруы), мың АҚШ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Перестрахование нерезидентами (исходящее перестрахование), тысяч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512"/>
        <w:gridCol w:w="684"/>
      </w:tblGrid>
      <w:tr w:rsidR="00902F21" w:rsidRPr="00755EFD" w:rsidTr="00635F75">
        <w:trPr>
          <w:jc w:val="center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64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Қайта сақтандырушы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Наименование страны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перестраховщика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3.1-бөлік.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3.1.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қайта сақтандыру ұйымына, оның ішінде сақтандыру брокері арқылы берілген сақтандыру сыйлықақылары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lastRenderedPageBreak/>
              <w:t>страховые премии, переданные перестраховочной организации – нерезиденту, в том числе через страхового брокера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13100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бейрезиденттермен қайта сақтандыру шарттары бойынша алынған өтемақы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возмещение, полученное по договорам перестрахования с 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13200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алынуға жататын комиссиялар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комиссионные, подлежащие к получению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13400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қайта сақтандыру болған жағдайда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 случае пропорционального перестрахования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13440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емес қайта сақтандыру болған жағдайда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 случае непропорционального перестрахования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13450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 Сақтандыру брокерлерінің және бейрезидент сақтандыру агенттерінің (делдалдық қызмет) қатысуымен сақтандыру (қайта сақтандыру), мың АҚШ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6"/>
        <w:gridCol w:w="1225"/>
        <w:gridCol w:w="1673"/>
        <w:gridCol w:w="597"/>
        <w:gridCol w:w="451"/>
        <w:gridCol w:w="451"/>
        <w:gridCol w:w="451"/>
        <w:gridCol w:w="451"/>
        <w:gridCol w:w="451"/>
        <w:gridCol w:w="597"/>
        <w:gridCol w:w="451"/>
        <w:gridCol w:w="605"/>
      </w:tblGrid>
      <w:tr w:rsidR="00902F21" w:rsidRPr="00755EFD" w:rsidTr="00635F75">
        <w:trPr>
          <w:jc w:val="center"/>
        </w:trPr>
        <w:tc>
          <w:tcPr>
            <w:tcW w:w="24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5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54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Брокер (агент)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страны брокера (агента)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4.1-бөлік.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4.1.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2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5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сақтандыру брокеріне немесе бейрезидент сақтандыру агентіне алынған қызметтер үшін төленген комиссия</w:t>
            </w:r>
          </w:p>
          <w:p w:rsidR="00902F21" w:rsidRPr="00755EFD" w:rsidRDefault="00902F21" w:rsidP="00635F75">
            <w:pPr>
              <w:ind w:left="127" w:right="52"/>
              <w:jc w:val="both"/>
            </w:pPr>
            <w:r w:rsidRPr="00755EFD">
              <w:t xml:space="preserve">Комиссия, выплаченная страховому брокеру-нерезиденту или страховому </w:t>
            </w:r>
            <w:r w:rsidRPr="00755EFD">
              <w:br/>
              <w:t>агенту-нерезиденту за полученные услуги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14400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rPr>
          <w:sz w:val="28"/>
          <w:szCs w:val="28"/>
        </w:rPr>
      </w:pPr>
    </w:p>
    <w:tbl>
      <w:tblPr>
        <w:tblW w:w="5076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7694"/>
      </w:tblGrid>
      <w:tr w:rsidR="00902F21" w:rsidRPr="00755EFD" w:rsidTr="00635F75">
        <w:tc>
          <w:tcPr>
            <w:tcW w:w="23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Атауы 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Наименование________________________________ 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_____________________________________________ 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color w:val="auto"/>
                <w:sz w:val="28"/>
                <w:szCs w:val="28"/>
              </w:rPr>
              <w:t>Т</w:t>
            </w: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елефоны (респонденттің)     </w:t>
            </w:r>
            <w:r w:rsidRPr="00755EFD">
              <w:rPr>
                <w:color w:val="auto"/>
                <w:sz w:val="28"/>
                <w:szCs w:val="28"/>
              </w:rPr>
              <w:t xml:space="preserve">                                              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Телефон (респондента)_________________________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                                         стационарлық 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                                          стационарный</w:t>
            </w:r>
          </w:p>
        </w:tc>
        <w:tc>
          <w:tcPr>
            <w:tcW w:w="2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Мекенжайы (респонденттің)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(респондента)_______________________________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_________________________________________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</w:tc>
      </w:tr>
    </w:tbl>
    <w:p w:rsidR="00902F21" w:rsidRPr="00755EFD" w:rsidRDefault="00902F21" w:rsidP="00902F21">
      <w:pPr>
        <w:pStyle w:val="p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lastRenderedPageBreak/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6"/>
        <w:gridCol w:w="2360"/>
        <w:gridCol w:w="3980"/>
        <w:gridCol w:w="3803"/>
      </w:tblGrid>
      <w:tr w:rsidR="00902F21" w:rsidRPr="00755EFD" w:rsidTr="00635F75">
        <w:tc>
          <w:tcPr>
            <w:tcW w:w="1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E65C58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келісеміз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32416153" wp14:editId="113F7D8E">
                  <wp:extent cx="371475" cy="333375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E65C58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келіспейміз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4BC06BBE" wp14:editId="2FF22E3B">
                  <wp:extent cx="371475" cy="333375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F21" w:rsidRPr="00755EFD" w:rsidTr="00635F75">
        <w:tc>
          <w:tcPr>
            <w:tcW w:w="1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Электрондық пошта мекенжайы (респонденттің) </w:t>
      </w:r>
    </w:p>
    <w:p w:rsidR="00902F21" w:rsidRPr="00755EFD" w:rsidRDefault="00902F21" w:rsidP="00902F21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Адрес электронной почты (респондента) _________________________________</w:t>
      </w:r>
    </w:p>
    <w:p w:rsidR="00902F21" w:rsidRPr="00755EFD" w:rsidRDefault="00902F21" w:rsidP="00902F21">
      <w:pPr>
        <w:pStyle w:val="pj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 </w:t>
      </w:r>
    </w:p>
    <w:tbl>
      <w:tblPr>
        <w:tblW w:w="4904" w:type="pct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  <w:gridCol w:w="4595"/>
      </w:tblGrid>
      <w:tr w:rsidR="00902F21" w:rsidRPr="00755EFD" w:rsidTr="00635F75">
        <w:tc>
          <w:tcPr>
            <w:tcW w:w="33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Орындаушы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Исполнитель _________________________________________________________________</w:t>
            </w:r>
          </w:p>
          <w:p w:rsidR="00902F21" w:rsidRPr="00755EFD" w:rsidRDefault="00902F21" w:rsidP="00635F7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902F21" w:rsidRPr="00755EFD" w:rsidRDefault="00902F21" w:rsidP="00635F7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 бухгалтер немесе есепке қол қою функциясы жүктелген адам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Главный бухгалтер или лицо, на которое возложена функция по подписанию отчета  </w:t>
            </w:r>
          </w:p>
          <w:p w:rsidR="00902F21" w:rsidRPr="00755EFD" w:rsidRDefault="00902F21" w:rsidP="00635F75">
            <w:pPr>
              <w:pStyle w:val="p"/>
              <w:ind w:left="22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 ________________________________________________________________</w:t>
            </w:r>
          </w:p>
          <w:p w:rsidR="00902F21" w:rsidRPr="00755EFD" w:rsidRDefault="00902F21" w:rsidP="00635F7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902F21" w:rsidRPr="00755EFD" w:rsidRDefault="00902F21" w:rsidP="00635F7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 немесе есепке қол қою функциясы жүктелген адам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:rsidR="00902F21" w:rsidRPr="00755EFD" w:rsidRDefault="00902F21" w:rsidP="00635F75">
            <w:pPr>
              <w:pStyle w:val="p"/>
              <w:ind w:left="22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________________________________________________________________</w:t>
            </w:r>
          </w:p>
          <w:p w:rsidR="00902F21" w:rsidRPr="00755EFD" w:rsidRDefault="00902F21" w:rsidP="00635F7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902F21" w:rsidRPr="00755EFD" w:rsidRDefault="00902F21" w:rsidP="00635F75">
            <w:pPr>
              <w:pStyle w:val="p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r"/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</w:t>
            </w:r>
          </w:p>
          <w:p w:rsidR="00902F21" w:rsidRPr="00755EFD" w:rsidRDefault="00902F21" w:rsidP="00635F75">
            <w:pPr>
              <w:pStyle w:val="pc"/>
              <w:ind w:left="407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:rsidR="00902F21" w:rsidRPr="00755EFD" w:rsidRDefault="00902F21" w:rsidP="00635F75">
            <w:pPr>
              <w:pStyle w:val="pc"/>
              <w:ind w:left="407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:rsidR="00902F21" w:rsidRPr="00755EFD" w:rsidRDefault="00902F21" w:rsidP="00635F7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c"/>
              <w:pBdr>
                <w:bottom w:val="single" w:sz="12" w:space="1" w:color="auto"/>
              </w:pBdr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902F21" w:rsidRPr="00755EFD" w:rsidRDefault="00902F21" w:rsidP="00635F7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902F21" w:rsidRPr="00755EFD" w:rsidRDefault="00902F21" w:rsidP="00635F7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</w:t>
            </w:r>
          </w:p>
          <w:p w:rsidR="00902F21" w:rsidRPr="00755EFD" w:rsidRDefault="00902F21" w:rsidP="00635F7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902F21" w:rsidRPr="00755EFD" w:rsidRDefault="00902F21" w:rsidP="00635F75">
            <w:pPr>
              <w:pStyle w:val="pc"/>
              <w:ind w:firstLine="69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</w:tc>
      </w:tr>
    </w:tbl>
    <w:p w:rsidR="00902F21" w:rsidRPr="00F435EE" w:rsidRDefault="00902F21" w:rsidP="00902F21">
      <w:pPr>
        <w:pStyle w:val="pj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lastRenderedPageBreak/>
        <w:t> </w:t>
      </w:r>
    </w:p>
    <w:p w:rsidR="00902F21" w:rsidRPr="00F435EE" w:rsidRDefault="00902F21" w:rsidP="00902F21">
      <w:pPr>
        <w:pStyle w:val="pj"/>
        <w:ind w:firstLine="709"/>
        <w:rPr>
          <w:b/>
          <w:color w:val="auto"/>
          <w:sz w:val="28"/>
          <w:szCs w:val="28"/>
        </w:rPr>
      </w:pPr>
      <w:r w:rsidRPr="00F435EE">
        <w:rPr>
          <w:rStyle w:val="s0"/>
          <w:b/>
          <w:bCs/>
          <w:color w:val="auto"/>
          <w:sz w:val="28"/>
          <w:szCs w:val="28"/>
        </w:rPr>
        <w:t>Ескертпе:</w:t>
      </w:r>
    </w:p>
    <w:p w:rsidR="00902F21" w:rsidRPr="00F435EE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F435EE">
        <w:rPr>
          <w:rStyle w:val="s0"/>
          <w:color w:val="auto"/>
          <w:sz w:val="28"/>
          <w:szCs w:val="28"/>
        </w:rPr>
        <w:t>Примечание:</w:t>
      </w:r>
    </w:p>
    <w:p w:rsidR="00902F21" w:rsidRPr="00F435EE" w:rsidRDefault="00902F21" w:rsidP="00902F21">
      <w:pPr>
        <w:pStyle w:val="pj"/>
        <w:ind w:firstLine="709"/>
        <w:rPr>
          <w:b/>
          <w:color w:val="auto"/>
          <w:sz w:val="28"/>
          <w:szCs w:val="28"/>
        </w:rPr>
      </w:pPr>
      <w:r w:rsidRPr="00F435EE">
        <w:rPr>
          <w:rStyle w:val="s0"/>
          <w:b/>
          <w:bCs/>
          <w:color w:val="auto"/>
          <w:sz w:val="28"/>
          <w:szCs w:val="28"/>
        </w:rPr>
        <w:t xml:space="preserve">Мемлекеттік статистиканың тиісті органдарына анық емес </w:t>
      </w:r>
      <w:r w:rsidRPr="00F435EE">
        <w:rPr>
          <w:b/>
          <w:bCs/>
          <w:color w:val="auto"/>
          <w:sz w:val="28"/>
          <w:szCs w:val="28"/>
        </w:rPr>
        <w:t xml:space="preserve">бастапқы </w:t>
      </w:r>
      <w:r w:rsidRPr="00F435EE">
        <w:rPr>
          <w:rStyle w:val="s0"/>
          <w:b/>
          <w:bCs/>
          <w:color w:val="auto"/>
          <w:sz w:val="28"/>
          <w:szCs w:val="28"/>
        </w:rPr>
        <w:t xml:space="preserve">статистикалық деректерді ұсыну және </w:t>
      </w:r>
      <w:r w:rsidRPr="00F435EE">
        <w:rPr>
          <w:b/>
          <w:bCs/>
          <w:color w:val="auto"/>
          <w:sz w:val="28"/>
          <w:szCs w:val="28"/>
        </w:rPr>
        <w:t xml:space="preserve">бастапқы </w:t>
      </w:r>
      <w:r w:rsidRPr="00F435EE">
        <w:rPr>
          <w:rStyle w:val="s0"/>
          <w:b/>
          <w:bCs/>
          <w:color w:val="auto"/>
          <w:sz w:val="28"/>
          <w:szCs w:val="28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902F21" w:rsidRPr="00F435EE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F435EE">
        <w:rPr>
          <w:rStyle w:val="s0"/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F435EE">
        <w:rPr>
          <w:color w:val="auto"/>
          <w:sz w:val="28"/>
          <w:szCs w:val="28"/>
        </w:rPr>
        <w:t>статьей 497</w:t>
      </w:r>
      <w:r w:rsidRPr="00F435EE">
        <w:rPr>
          <w:rStyle w:val="s0"/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:rsidR="00902F21" w:rsidRPr="00F435EE" w:rsidRDefault="00902F21" w:rsidP="00902F21">
      <w:pPr>
        <w:ind w:firstLine="709"/>
        <w:jc w:val="both"/>
        <w:rPr>
          <w:sz w:val="28"/>
          <w:szCs w:val="28"/>
        </w:rPr>
      </w:pPr>
      <w:r w:rsidRPr="00F435EE">
        <w:rPr>
          <w:sz w:val="28"/>
          <w:szCs w:val="28"/>
        </w:rPr>
        <w:t> </w:t>
      </w:r>
    </w:p>
    <w:p w:rsidR="00902F21" w:rsidRPr="00755EFD" w:rsidRDefault="00902F21" w:rsidP="00902F21">
      <w:pPr>
        <w:ind w:left="5954"/>
        <w:rPr>
          <w:sz w:val="28"/>
          <w:szCs w:val="28"/>
        </w:rPr>
        <w:sectPr w:rsidR="00902F21" w:rsidRPr="00755EFD" w:rsidSect="00B370BE">
          <w:headerReference w:type="even" r:id="rId11"/>
          <w:headerReference w:type="default" r:id="rId12"/>
          <w:headerReference w:type="first" r:id="rId13"/>
          <w:pgSz w:w="16838" w:h="11906" w:orient="landscape"/>
          <w:pgMar w:top="1418" w:right="851" w:bottom="1418" w:left="1418" w:header="851" w:footer="709" w:gutter="0"/>
          <w:pgNumType w:start="225"/>
          <w:cols w:space="708"/>
          <w:docGrid w:linePitch="360"/>
        </w:sectPr>
      </w:pPr>
    </w:p>
    <w:p w:rsidR="00902F21" w:rsidRPr="00755EFD" w:rsidRDefault="00902F21" w:rsidP="00902F21">
      <w:pPr>
        <w:ind w:firstLine="5529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20 к постановлению</w:t>
      </w:r>
    </w:p>
    <w:p w:rsidR="00902F21" w:rsidRPr="00755EFD" w:rsidRDefault="00902F21" w:rsidP="00902F21">
      <w:pPr>
        <w:ind w:left="5812" w:hanging="283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812" w:hanging="283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812" w:hanging="283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Инструкция по заполнению статистической формы ведомственного статистического наблюдения «Отчет о страховании (перестраховании) нерезидентов и перестраховании рисков у нерезидентов по отрасли 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«общее страхование»  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(индекс 11-ПБ-OC, периодичность квартальная)</w:t>
      </w:r>
    </w:p>
    <w:p w:rsidR="00902F21" w:rsidRPr="00755EFD" w:rsidRDefault="00902F21" w:rsidP="00902F21">
      <w:pPr>
        <w:ind w:firstLine="400"/>
        <w:jc w:val="both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 </w:t>
      </w:r>
    </w:p>
    <w:p w:rsidR="00902F21" w:rsidRPr="00755EFD" w:rsidRDefault="00902F21" w:rsidP="00902F21">
      <w:pPr>
        <w:ind w:firstLine="400"/>
        <w:jc w:val="both"/>
        <w:rPr>
          <w:b/>
          <w:sz w:val="28"/>
          <w:szCs w:val="28"/>
        </w:rPr>
      </w:pP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по заполнению статистической формы ведомственного статистического наблюдения «Отчет о страховании (перестраховании) нерезидентов и перестраховании рисков у нерезидентов по отрасли «общее страхование» (индекс 11-ПБ-OC, периодичность квартальная) (далее – статистическая форма) разработана в соответствии с </w:t>
      </w:r>
      <w:hyperlink r:id="rId14" w:tooltip="Закон Республики Казахстан от 19 марта 2010 года № 257-IV " w:history="1">
        <w:r w:rsidRPr="00755EFD">
          <w:rPr>
            <w:sz w:val="28"/>
            <w:szCs w:val="28"/>
          </w:rPr>
          <w:t>подпунктом 2-1) статьи 13</w:t>
        </w:r>
      </w:hyperlink>
      <w:r w:rsidRPr="00755EFD">
        <w:rPr>
          <w:sz w:val="28"/>
          <w:szCs w:val="28"/>
        </w:rPr>
        <w:t xml:space="preserve"> Закона Республики Казахстан «О государственной статистике» и детализирует заполнение статистической формы.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Статистическая форма представляется ежеквартально страховыми организациями, филиалами страховых (перестраховочных) организаций – нерезидентов осуществляющими свою деятельность на основании лицензии на право осуществления страховой (перестраховочной) деятельности по отрасли «общее страхование».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При заполнении статистической формы применяются следующие определения: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</w:t>
      </w:r>
      <w:r w:rsidRPr="00755EFD">
        <w:rPr>
          <w:sz w:val="28"/>
          <w:szCs w:val="28"/>
        </w:rPr>
        <w:lastRenderedPageBreak/>
        <w:t>образования и лечения, являются резидентами независимо от сроков их пребывания на территории других стран;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В статистической форме отражается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по прямому страхованию нерезидентов – о деятельности и связанных с ней отношениях, возникающих в связи с принятием страховых рисков по договору страхования (раздел 1);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по перестрахованию нерезидентов (входящее перестрахование) – о деятельности и связанных с ней отношениях, возникающих в связи с принятием части страховых рисков в соответствии с заключенным договором перестрахования (раздел 2);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по перестрахованию нерезидентами (исходящее перестрахование) – о деятельности и связанных с ней отношениях, возникающих в связи с передачей части страховых рисков в перестрахование в соответствии с заключенным договором перестрахования (раздел 3).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7. Все операции за отчетный период, перечисленные в частях 1.1, 2.1, 3.1, 4,1 статистической формы (коды строк 11100, 11200, 11210, 11300, 12100, 12200, 12210, 12300, 12400, 12440, 12450, 13100, 13200, 13400, 13440, 13450, 14400), отражаются в соответствии с методом начисления.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Крупные страховые выплаты (коды строк 11210, 12210) включают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доходах от инвестирования (коды строк 11300, 12300) отражаются доходы, начисленные к получению в отчетном периоде от инвестирования в финансовые активы страховых резервов по договорам входящего страхования (перестрахования) с нерезидентами по соответствующим странам.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услуги, по стоимостной оценке,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 Все суммы отражаются в тысячах долларов Соединенных Штатов Америки (далее – США) с точностью до одного знака после запятой.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Суммы, выраженные в тенге, переводятся в доллары США. Суммы, выраженные в иных иностранных валютах, переводятся сначала в тенге, а затем в доллары США.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Для конвертации используются рыночные курсы обмена валют, применяемые в целях формирования финансовой отчетности. При этом для конвертации операций используются соответствующие курсы на дату совершения операций, для доходов и комиссионных - средневзвешенные курсы за отчетный период, для остатков на начало и конец квартала - курсы на соответствующую дату.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1- 4. Если количество стран партнеров респондента превышает имеющееся в разделах статистической формы количество граф, добавляются недостающие графы.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стране в разделах 1-4 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</w:r>
      <w:r w:rsidRPr="00755EFD">
        <w:rPr>
          <w:sz w:val="28"/>
          <w:szCs w:val="28"/>
        </w:rPr>
        <w:lastRenderedPageBreak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11. Остатки по страховым резервам на начало отчетного периода равны их остаткам на конец предыдущего периода и заполняются в следующей разбивке: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по страхованию объектов прямого инвестирования – объектов, в отношении которых респондент является прямым инвестором;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по страхованию прямых инвесторов – лиц, владеющих (напрямую или косвенно) десятью и более процентами голосующих акций. Прямыми инвесторами являются физические лица (домашние хозяйства), юридические лица, международные организации, а также иные субъекты без образования юридического лица;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по страхованию сестринских компаний – организаций, которые имеют общего с респондентом прямого инвестора, но ни данная организация, ни респондент не обладают 10 (десятью) % процентами или более инструментов участия в капитале друг друга.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12. Статистическая форма представляется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Корректировки (исправления, дополнения) в статистическую форму вносятся в течение 3 (трех) месяцев после завершения отчетного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13. Арифметико-логический контроль: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11520 = строка 11530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11521 = строка 11531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11522 = строка 11532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11523 = строка 11533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11524 = строка 11534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11620 = строка 11630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11621 = строка 11631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11622 = строка 11632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строка 11623 = строка 11633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11624 = строка 11634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12520 = строка 12530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12521 = строка 12531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12522 = строка 12532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12523 = строка 12533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12524 = строка 12534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12620 = строка 12630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12621 = строка 12631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12622 = строка 12632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12623 = строка 12633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12624 = строка 12634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12400 = строка 12440 + строка 12450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13400 = строка 13440 + строка 13450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11520 = строка 11521 + строка 11522 + строка 11523 + строка 11524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11530 = строка 11531 + строка 11532 + строка 11533 + строка 11534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11620 = строка 11621 + строка 11622 + строка 11623 + строка 11624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11630 = строка 11631 + строка 11632 + строка 11633 + строка 11634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12520 = строка 12521 + строка 12522 + строка 12523 + строка 12524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12530 = строка 12531 + строка 12532 + строка 12533 + строка 12534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12620 = строка 12621 + строка 12622 + строка 12623 + строка 12624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12630 = строка 12631 + строка 12632 + строка 12633 + строка 12634 для каждой графы.</w:t>
      </w:r>
    </w:p>
    <w:p w:rsidR="002F5E03" w:rsidRDefault="002F5E03" w:rsidP="00B370BE">
      <w:pPr>
        <w:ind w:firstLine="400"/>
        <w:jc w:val="both"/>
      </w:pPr>
      <w:bookmarkStart w:id="0" w:name="_GoBack"/>
      <w:bookmarkEnd w:id="0"/>
    </w:p>
    <w:sectPr w:rsidR="002F5E03" w:rsidSect="00815377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88" w:rsidRDefault="00611788" w:rsidP="00902F21">
      <w:r>
        <w:separator/>
      </w:r>
    </w:p>
  </w:endnote>
  <w:endnote w:type="continuationSeparator" w:id="0">
    <w:p w:rsidR="00611788" w:rsidRDefault="00611788" w:rsidP="009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88" w:rsidRDefault="00611788" w:rsidP="00902F21">
      <w:r>
        <w:separator/>
      </w:r>
    </w:p>
  </w:footnote>
  <w:footnote w:type="continuationSeparator" w:id="0">
    <w:p w:rsidR="00611788" w:rsidRDefault="00611788" w:rsidP="0090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5206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611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5206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B370BE">
      <w:rPr>
        <w:rStyle w:val="af4"/>
        <w:noProof/>
      </w:rPr>
      <w:t>238</w:t>
    </w:r>
    <w:r w:rsidRPr="00D957B2">
      <w:rPr>
        <w:rStyle w:val="af4"/>
      </w:rPr>
      <w:fldChar w:fldCharType="end"/>
    </w:r>
  </w:p>
  <w:p w:rsidR="001F60D7" w:rsidRDefault="00611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520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0BE">
          <w:rPr>
            <w:noProof/>
          </w:rPr>
          <w:t>234</w:t>
        </w:r>
        <w:r>
          <w:fldChar w:fldCharType="end"/>
        </w:r>
      </w:p>
    </w:sdtContent>
  </w:sdt>
  <w:p w:rsidR="001F60D7" w:rsidRPr="008A51E2" w:rsidRDefault="00611788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5C"/>
    <w:rsid w:val="00252375"/>
    <w:rsid w:val="00271C68"/>
    <w:rsid w:val="002F5E03"/>
    <w:rsid w:val="00300152"/>
    <w:rsid w:val="00495B5C"/>
    <w:rsid w:val="005206D7"/>
    <w:rsid w:val="00611788"/>
    <w:rsid w:val="00750985"/>
    <w:rsid w:val="00902F21"/>
    <w:rsid w:val="009C204F"/>
    <w:rsid w:val="009E6BA3"/>
    <w:rsid w:val="00B370BE"/>
    <w:rsid w:val="00E3239D"/>
    <w:rsid w:val="00F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3A7D3-2A9A-43A6-A8A6-3AC9B2C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02F2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02F21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2F21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02F21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02F21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F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02F21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902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2F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2F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02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02F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02F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rsid w:val="0090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902F21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902F21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902F2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902F21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02F21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90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902F21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902F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902F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902F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902F21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02F2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902F2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902F21"/>
  </w:style>
  <w:style w:type="character" w:styleId="af5">
    <w:name w:val="Strong"/>
    <w:qFormat/>
    <w:rsid w:val="00902F21"/>
    <w:rPr>
      <w:b/>
      <w:bCs/>
    </w:rPr>
  </w:style>
  <w:style w:type="paragraph" w:customStyle="1" w:styleId="71">
    <w:name w:val="Знак7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02F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0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02F21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902F21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902F21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902F21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902F21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902F21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902F21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902F21"/>
    <w:rPr>
      <w:bdr w:val="none" w:sz="0" w:space="0" w:color="auto" w:frame="1"/>
    </w:rPr>
  </w:style>
  <w:style w:type="character" w:customStyle="1" w:styleId="s10">
    <w:name w:val="s10"/>
    <w:basedOn w:val="a0"/>
    <w:rsid w:val="00902F21"/>
    <w:rPr>
      <w:bdr w:val="none" w:sz="0" w:space="0" w:color="auto" w:frame="1"/>
    </w:rPr>
  </w:style>
  <w:style w:type="character" w:customStyle="1" w:styleId="s15">
    <w:name w:val="s15"/>
    <w:basedOn w:val="a0"/>
    <w:rsid w:val="00902F21"/>
  </w:style>
  <w:style w:type="character" w:customStyle="1" w:styleId="s100">
    <w:name w:val="s100"/>
    <w:basedOn w:val="a0"/>
    <w:rsid w:val="00902F21"/>
    <w:rPr>
      <w:color w:val="000000"/>
    </w:rPr>
  </w:style>
  <w:style w:type="character" w:customStyle="1" w:styleId="s2">
    <w:name w:val="s2"/>
    <w:basedOn w:val="a0"/>
    <w:rsid w:val="00902F21"/>
    <w:rPr>
      <w:color w:val="000080"/>
    </w:rPr>
  </w:style>
  <w:style w:type="character" w:customStyle="1" w:styleId="s3">
    <w:name w:val="s3"/>
    <w:basedOn w:val="a0"/>
    <w:rsid w:val="00902F21"/>
    <w:rPr>
      <w:color w:val="FF0000"/>
    </w:rPr>
  </w:style>
  <w:style w:type="character" w:customStyle="1" w:styleId="s6">
    <w:name w:val="s6"/>
    <w:basedOn w:val="a0"/>
    <w:rsid w:val="00902F21"/>
    <w:rPr>
      <w:color w:val="808000"/>
    </w:rPr>
  </w:style>
  <w:style w:type="character" w:customStyle="1" w:styleId="s5">
    <w:name w:val="s5"/>
    <w:basedOn w:val="a0"/>
    <w:rsid w:val="00902F21"/>
    <w:rPr>
      <w:color w:val="808080"/>
    </w:rPr>
  </w:style>
  <w:style w:type="character" w:customStyle="1" w:styleId="s191">
    <w:name w:val="s191"/>
    <w:basedOn w:val="a0"/>
    <w:rsid w:val="00902F21"/>
    <w:rPr>
      <w:color w:val="008000"/>
    </w:rPr>
  </w:style>
  <w:style w:type="character" w:customStyle="1" w:styleId="s91">
    <w:name w:val="s91"/>
    <w:basedOn w:val="a0"/>
    <w:rsid w:val="00902F21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902F21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902F21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902F21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902F2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02F21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02F21"/>
    <w:rPr>
      <w:b/>
      <w:bCs/>
    </w:rPr>
  </w:style>
  <w:style w:type="character" w:customStyle="1" w:styleId="13">
    <w:name w:val="Тема примечания Знак1"/>
    <w:basedOn w:val="af8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902F21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902F21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902F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902F21"/>
    <w:pPr>
      <w:overflowPunct/>
      <w:autoSpaceDE/>
      <w:autoSpaceDN/>
      <w:adjustRightInd/>
    </w:pPr>
  </w:style>
  <w:style w:type="character" w:customStyle="1" w:styleId="15">
    <w:name w:val="Текст сноски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f0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902F21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7"/>
    <w:semiHidden/>
    <w:rsid w:val="00902F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902F21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90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902F21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902F21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2"/>
    <w:semiHidden/>
    <w:rsid w:val="00902F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902F21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02F21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902F21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8">
    <w:name w:val="Основной текст1"/>
    <w:basedOn w:val="a"/>
    <w:rsid w:val="00902F21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902F21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902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902F21"/>
  </w:style>
  <w:style w:type="character" w:customStyle="1" w:styleId="y2iqfc">
    <w:name w:val="y2iqfc"/>
    <w:basedOn w:val="a0"/>
    <w:rsid w:val="00902F21"/>
  </w:style>
  <w:style w:type="character" w:customStyle="1" w:styleId="ezkurwreuab5ozgtqnkl">
    <w:name w:val="ezkurwreuab5ozgtqnkl"/>
    <w:basedOn w:val="a0"/>
    <w:rsid w:val="0090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jl:30605510.13000201.1009001939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3676</Words>
  <Characters>20956</Characters>
  <Application>Microsoft Office Word</Application>
  <DocSecurity>0</DocSecurity>
  <Lines>174</Lines>
  <Paragraphs>49</Paragraphs>
  <ScaleCrop>false</ScaleCrop>
  <Company/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7</cp:revision>
  <dcterms:created xsi:type="dcterms:W3CDTF">2025-07-31T12:28:00Z</dcterms:created>
  <dcterms:modified xsi:type="dcterms:W3CDTF">2025-08-01T04:16:00Z</dcterms:modified>
</cp:coreProperties>
</file>